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DA89" w14:textId="308D9436" w:rsidR="00963B55" w:rsidRPr="00963B55" w:rsidRDefault="00124C40">
      <w:pPr>
        <w:rPr>
          <w:rFonts w:ascii="Aptos" w:hAnsi="Aptos"/>
          <w:b/>
          <w:bCs/>
          <w:color w:val="FFC923"/>
          <w:sz w:val="48"/>
          <w:szCs w:val="48"/>
        </w:rPr>
      </w:pPr>
      <w:r w:rsidRPr="00963B55">
        <w:rPr>
          <w:rFonts w:ascii="Aptos" w:hAnsi="Aptos"/>
          <w:b/>
          <w:bCs/>
          <w:color w:val="FA8100"/>
          <w:sz w:val="48"/>
          <w:szCs w:val="48"/>
        </w:rPr>
        <w:t>Programação</w:t>
      </w:r>
      <w:r w:rsidRPr="00963B55">
        <w:rPr>
          <w:rFonts w:ascii="Aptos" w:hAnsi="Aptos"/>
          <w:b/>
          <w:bCs/>
          <w:sz w:val="48"/>
          <w:szCs w:val="48"/>
        </w:rPr>
        <w:t xml:space="preserve"> </w:t>
      </w:r>
      <w:r w:rsidRPr="00963B55">
        <w:rPr>
          <w:rFonts w:ascii="Aptos" w:hAnsi="Aptos"/>
          <w:b/>
          <w:bCs/>
          <w:color w:val="FFC923"/>
          <w:sz w:val="48"/>
          <w:szCs w:val="48"/>
        </w:rPr>
        <w:t>Principal</w:t>
      </w:r>
    </w:p>
    <w:p w14:paraId="3D878DF8" w14:textId="013A79A6" w:rsidR="00124C40" w:rsidRPr="00124C40" w:rsidRDefault="00124C40">
      <w:pPr>
        <w:rPr>
          <w:rFonts w:ascii="Aptos" w:hAnsi="Aptos"/>
          <w:b/>
          <w:bCs/>
          <w:color w:val="FA8100"/>
          <w:sz w:val="40"/>
          <w:szCs w:val="40"/>
        </w:rPr>
      </w:pPr>
      <w:r w:rsidRPr="00124C40">
        <w:rPr>
          <w:rFonts w:ascii="Aptos" w:hAnsi="Aptos"/>
          <w:b/>
          <w:bCs/>
          <w:color w:val="FFC923"/>
          <w:sz w:val="40"/>
          <w:szCs w:val="40"/>
        </w:rPr>
        <w:tab/>
      </w:r>
      <w:r w:rsidRPr="00124C40">
        <w:rPr>
          <w:rFonts w:ascii="Aptos" w:hAnsi="Aptos"/>
          <w:b/>
          <w:bCs/>
          <w:color w:val="FA8100"/>
          <w:sz w:val="40"/>
          <w:szCs w:val="40"/>
        </w:rPr>
        <w:t>1º Dia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24C40" w:rsidRPr="00124C40" w14:paraId="0F2A7767" w14:textId="77777777" w:rsidTr="00124C40">
        <w:tc>
          <w:tcPr>
            <w:tcW w:w="2122" w:type="dxa"/>
            <w:shd w:val="clear" w:color="auto" w:fill="FA8100"/>
          </w:tcPr>
          <w:p w14:paraId="0E073D53" w14:textId="0928D635" w:rsidR="00124C40" w:rsidRPr="00124C40" w:rsidRDefault="00124C40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10h</w:t>
            </w:r>
          </w:p>
        </w:tc>
        <w:tc>
          <w:tcPr>
            <w:tcW w:w="6372" w:type="dxa"/>
          </w:tcPr>
          <w:p w14:paraId="46C859D1" w14:textId="5B9A8AA0" w:rsidR="00124C40" w:rsidRPr="00963B55" w:rsidRDefault="00124C40" w:rsidP="00963B55">
            <w:pPr>
              <w:jc w:val="both"/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Abertura do Credenciamento</w:t>
            </w:r>
          </w:p>
        </w:tc>
      </w:tr>
      <w:tr w:rsidR="00124C40" w:rsidRPr="00124C40" w14:paraId="0BE3B616" w14:textId="77777777" w:rsidTr="00124C40">
        <w:tc>
          <w:tcPr>
            <w:tcW w:w="2122" w:type="dxa"/>
            <w:shd w:val="clear" w:color="auto" w:fill="FA8100"/>
          </w:tcPr>
          <w:p w14:paraId="6B33610A" w14:textId="2D4C9C19" w:rsidR="00124C40" w:rsidRPr="00124C40" w:rsidRDefault="00124C40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10h</w:t>
            </w:r>
          </w:p>
        </w:tc>
        <w:tc>
          <w:tcPr>
            <w:tcW w:w="6372" w:type="dxa"/>
          </w:tcPr>
          <w:p w14:paraId="2D1EA66F" w14:textId="751EAC34" w:rsidR="00124C40" w:rsidRPr="00963B55" w:rsidRDefault="00124C40" w:rsidP="00963B55">
            <w:pPr>
              <w:jc w:val="both"/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Abertura do Espaço do Patrocinador</w:t>
            </w:r>
          </w:p>
        </w:tc>
      </w:tr>
      <w:tr w:rsidR="00124C40" w:rsidRPr="00124C40" w14:paraId="2C4B0815" w14:textId="77777777" w:rsidTr="00124C40">
        <w:tc>
          <w:tcPr>
            <w:tcW w:w="2122" w:type="dxa"/>
            <w:shd w:val="clear" w:color="auto" w:fill="FA8100"/>
          </w:tcPr>
          <w:p w14:paraId="39CD2197" w14:textId="7AB20596" w:rsidR="00124C40" w:rsidRPr="00124C40" w:rsidRDefault="00124C40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10h</w:t>
            </w:r>
          </w:p>
        </w:tc>
        <w:tc>
          <w:tcPr>
            <w:tcW w:w="6372" w:type="dxa"/>
          </w:tcPr>
          <w:p w14:paraId="0D8E6F28" w14:textId="4F85F239" w:rsidR="00124C40" w:rsidRPr="00963B55" w:rsidRDefault="00124C40" w:rsidP="00963B55">
            <w:pPr>
              <w:jc w:val="both"/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Abertura do Atendimento Técnico Institucional</w:t>
            </w:r>
          </w:p>
        </w:tc>
      </w:tr>
      <w:tr w:rsidR="00124C40" w:rsidRPr="00124C40" w14:paraId="0F6CBCF5" w14:textId="77777777" w:rsidTr="00124C40">
        <w:tc>
          <w:tcPr>
            <w:tcW w:w="2122" w:type="dxa"/>
            <w:shd w:val="clear" w:color="auto" w:fill="FA8100"/>
          </w:tcPr>
          <w:p w14:paraId="5581CA18" w14:textId="26FF3DDA" w:rsidR="00124C40" w:rsidRPr="00124C40" w:rsidRDefault="00124C40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14h</w:t>
            </w:r>
          </w:p>
        </w:tc>
        <w:tc>
          <w:tcPr>
            <w:tcW w:w="6372" w:type="dxa"/>
          </w:tcPr>
          <w:p w14:paraId="6F32EAF5" w14:textId="48D123C1" w:rsidR="00124C40" w:rsidRPr="00963B55" w:rsidRDefault="00124C40" w:rsidP="00963B55">
            <w:pPr>
              <w:jc w:val="both"/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Arenas Técnicas</w:t>
            </w:r>
          </w:p>
        </w:tc>
      </w:tr>
      <w:tr w:rsidR="00124C40" w:rsidRPr="00124C40" w14:paraId="49DB55AA" w14:textId="77777777" w:rsidTr="00124C40">
        <w:tc>
          <w:tcPr>
            <w:tcW w:w="2122" w:type="dxa"/>
            <w:shd w:val="clear" w:color="auto" w:fill="FA8100"/>
          </w:tcPr>
          <w:p w14:paraId="5999B188" w14:textId="1C7D4458" w:rsidR="00124C40" w:rsidRPr="00124C40" w:rsidRDefault="00124C40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14h</w:t>
            </w:r>
          </w:p>
        </w:tc>
        <w:tc>
          <w:tcPr>
            <w:tcW w:w="6372" w:type="dxa"/>
          </w:tcPr>
          <w:p w14:paraId="783CA6E3" w14:textId="7681F5E8" w:rsidR="00124C40" w:rsidRPr="00963B55" w:rsidRDefault="0072733A" w:rsidP="00963B55">
            <w:pPr>
              <w:jc w:val="both"/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Diretoria e Conselho Político Ampliado (Sede)</w:t>
            </w:r>
          </w:p>
        </w:tc>
      </w:tr>
    </w:tbl>
    <w:p w14:paraId="4E2CE02A" w14:textId="0035E501" w:rsidR="00124C40" w:rsidRDefault="00124C40">
      <w:pPr>
        <w:rPr>
          <w:b/>
          <w:bCs/>
          <w:sz w:val="40"/>
          <w:szCs w:val="40"/>
        </w:rPr>
      </w:pPr>
    </w:p>
    <w:p w14:paraId="1FDA4726" w14:textId="1645F26F" w:rsidR="00124C40" w:rsidRPr="00124C40" w:rsidRDefault="00124C40" w:rsidP="00124C40">
      <w:pPr>
        <w:rPr>
          <w:rFonts w:ascii="Aptos" w:hAnsi="Aptos"/>
          <w:b/>
          <w:bCs/>
          <w:color w:val="FA8100"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rFonts w:ascii="Aptos" w:hAnsi="Aptos"/>
          <w:b/>
          <w:bCs/>
          <w:color w:val="FA8100"/>
          <w:sz w:val="40"/>
          <w:szCs w:val="40"/>
        </w:rPr>
        <w:t>2</w:t>
      </w:r>
      <w:r w:rsidRPr="00124C40">
        <w:rPr>
          <w:rFonts w:ascii="Aptos" w:hAnsi="Aptos"/>
          <w:b/>
          <w:bCs/>
          <w:color w:val="FA8100"/>
          <w:sz w:val="40"/>
          <w:szCs w:val="40"/>
        </w:rPr>
        <w:t>º Dia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24C40" w:rsidRPr="00124C40" w14:paraId="4C1643BE" w14:textId="77777777" w:rsidTr="00B05A11">
        <w:tc>
          <w:tcPr>
            <w:tcW w:w="2122" w:type="dxa"/>
            <w:shd w:val="clear" w:color="auto" w:fill="FA8100"/>
          </w:tcPr>
          <w:p w14:paraId="13E8433E" w14:textId="633D906D" w:rsidR="00124C40" w:rsidRPr="00124C40" w:rsidRDefault="00124C40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8</w:t>
            </w: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6372" w:type="dxa"/>
          </w:tcPr>
          <w:p w14:paraId="50684B1C" w14:textId="3C447DAE" w:rsidR="00124C40" w:rsidRPr="00963B55" w:rsidRDefault="00124C40" w:rsidP="00B05A11">
            <w:pPr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Início do Evento</w:t>
            </w:r>
          </w:p>
        </w:tc>
      </w:tr>
      <w:tr w:rsidR="00124C40" w:rsidRPr="00124C40" w14:paraId="74C5A6FD" w14:textId="77777777" w:rsidTr="00B05A11">
        <w:tc>
          <w:tcPr>
            <w:tcW w:w="2122" w:type="dxa"/>
            <w:shd w:val="clear" w:color="auto" w:fill="FA8100"/>
          </w:tcPr>
          <w:p w14:paraId="0D31B04F" w14:textId="29AF3020" w:rsidR="00124C40" w:rsidRPr="00124C40" w:rsidRDefault="00124C40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9</w:t>
            </w: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6372" w:type="dxa"/>
          </w:tcPr>
          <w:p w14:paraId="464589D6" w14:textId="792ED234" w:rsidR="00124C40" w:rsidRPr="00963B55" w:rsidRDefault="00124C40" w:rsidP="00B05A11">
            <w:pPr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Sessão Solene de Abertura</w:t>
            </w:r>
          </w:p>
        </w:tc>
      </w:tr>
      <w:tr w:rsidR="00124C40" w:rsidRPr="00124C40" w14:paraId="70AABC4B" w14:textId="77777777" w:rsidTr="00B05A11">
        <w:tc>
          <w:tcPr>
            <w:tcW w:w="2122" w:type="dxa"/>
            <w:shd w:val="clear" w:color="auto" w:fill="FA8100"/>
          </w:tcPr>
          <w:p w14:paraId="5DA4265A" w14:textId="069E8E07" w:rsidR="00124C40" w:rsidRPr="00124C40" w:rsidRDefault="00124C40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11</w:t>
            </w: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6372" w:type="dxa"/>
          </w:tcPr>
          <w:p w14:paraId="7D604101" w14:textId="602D2686" w:rsidR="00124C40" w:rsidRPr="00963B55" w:rsidRDefault="00124C40" w:rsidP="00B05A11">
            <w:pPr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Pacto Federativo: Um olhar para a população desprotegida</w:t>
            </w:r>
          </w:p>
        </w:tc>
      </w:tr>
      <w:tr w:rsidR="00510B73" w:rsidRPr="00124C40" w14:paraId="0B74A56B" w14:textId="77777777" w:rsidTr="00B05A11">
        <w:tc>
          <w:tcPr>
            <w:tcW w:w="2122" w:type="dxa"/>
            <w:shd w:val="clear" w:color="auto" w:fill="FA8100"/>
          </w:tcPr>
          <w:p w14:paraId="6106900A" w14:textId="23DBCE87" w:rsidR="00510B73" w:rsidRPr="00124C40" w:rsidRDefault="00510B73" w:rsidP="00510B73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4</w:t>
            </w: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6372" w:type="dxa"/>
          </w:tcPr>
          <w:p w14:paraId="53D0C724" w14:textId="4F151BF7" w:rsidR="00510B73" w:rsidRPr="00963B55" w:rsidRDefault="0072733A" w:rsidP="00510B73">
            <w:pPr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Desoneração: PEC da sustentabilidade fiscal (Emenda de Plenário à PEC 66/2023)</w:t>
            </w:r>
          </w:p>
        </w:tc>
      </w:tr>
      <w:tr w:rsidR="00124C40" w:rsidRPr="00124C40" w14:paraId="064B7F9C" w14:textId="77777777" w:rsidTr="00124C40">
        <w:trPr>
          <w:trHeight w:val="486"/>
        </w:trPr>
        <w:tc>
          <w:tcPr>
            <w:tcW w:w="2122" w:type="dxa"/>
            <w:shd w:val="clear" w:color="auto" w:fill="FA8100"/>
          </w:tcPr>
          <w:p w14:paraId="14FABE95" w14:textId="0B331396" w:rsidR="00124C40" w:rsidRPr="00124C40" w:rsidRDefault="00124C40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</w:t>
            </w:r>
            <w:r w:rsidR="0072733A">
              <w:rPr>
                <w:rFonts w:ascii="Aptos" w:hAnsi="Aptos"/>
                <w:color w:val="FFFFFF" w:themeColor="background1"/>
                <w:sz w:val="28"/>
                <w:szCs w:val="28"/>
              </w:rPr>
              <w:t>5h</w:t>
            </w:r>
          </w:p>
        </w:tc>
        <w:tc>
          <w:tcPr>
            <w:tcW w:w="6372" w:type="dxa"/>
          </w:tcPr>
          <w:p w14:paraId="726E2342" w14:textId="2683802A" w:rsidR="00124C40" w:rsidRPr="00963B55" w:rsidRDefault="0072733A" w:rsidP="00B05A11">
            <w:pPr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Movimento Mulheres Municipalistas</w:t>
            </w:r>
          </w:p>
        </w:tc>
      </w:tr>
      <w:tr w:rsidR="00124C40" w:rsidRPr="00124C40" w14:paraId="2E8BC3DA" w14:textId="77777777" w:rsidTr="00124C40">
        <w:trPr>
          <w:trHeight w:val="486"/>
        </w:trPr>
        <w:tc>
          <w:tcPr>
            <w:tcW w:w="2122" w:type="dxa"/>
            <w:shd w:val="clear" w:color="auto" w:fill="FA8100"/>
          </w:tcPr>
          <w:p w14:paraId="66805099" w14:textId="1C63A2FE" w:rsidR="00124C40" w:rsidRPr="00124C40" w:rsidRDefault="0072733A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15h30</w:t>
            </w:r>
            <w:r w:rsidR="00124C40">
              <w:rPr>
                <w:rFonts w:ascii="Aptos" w:hAnsi="Aptos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14:paraId="63A0E55B" w14:textId="73BDBCF1" w:rsidR="00124C40" w:rsidRPr="00963B55" w:rsidRDefault="0072733A" w:rsidP="00B05A11">
            <w:pPr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O Impacto dos Custos dos Programas Federais para os Municípios - Observa Políticas Públicas</w:t>
            </w:r>
          </w:p>
        </w:tc>
      </w:tr>
      <w:tr w:rsidR="0072733A" w:rsidRPr="00124C40" w14:paraId="745C18BD" w14:textId="77777777" w:rsidTr="00124C40">
        <w:trPr>
          <w:trHeight w:val="486"/>
        </w:trPr>
        <w:tc>
          <w:tcPr>
            <w:tcW w:w="2122" w:type="dxa"/>
            <w:shd w:val="clear" w:color="auto" w:fill="FA8100"/>
          </w:tcPr>
          <w:p w14:paraId="4071E119" w14:textId="7DD4A6A7" w:rsidR="0072733A" w:rsidRDefault="0072733A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16h</w:t>
            </w:r>
          </w:p>
        </w:tc>
        <w:tc>
          <w:tcPr>
            <w:tcW w:w="6372" w:type="dxa"/>
          </w:tcPr>
          <w:p w14:paraId="6BD563A1" w14:textId="6B55BAA1" w:rsidR="0072733A" w:rsidRPr="0072733A" w:rsidRDefault="00465127" w:rsidP="00B05A11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Plenário do Governo Federal: </w:t>
            </w:r>
            <w:r w:rsidRPr="00465127">
              <w:rPr>
                <w:rFonts w:ascii="Aptos" w:hAnsi="Aptos"/>
                <w:sz w:val="28"/>
                <w:szCs w:val="28"/>
              </w:rPr>
              <w:t>Esther Dweck - Ministra de Estado da Gestão e Inovação em Serviços Públicos.</w:t>
            </w:r>
          </w:p>
        </w:tc>
      </w:tr>
      <w:tr w:rsidR="00465127" w:rsidRPr="00124C40" w14:paraId="41C353B1" w14:textId="77777777" w:rsidTr="00124C40">
        <w:trPr>
          <w:trHeight w:val="486"/>
        </w:trPr>
        <w:tc>
          <w:tcPr>
            <w:tcW w:w="2122" w:type="dxa"/>
            <w:shd w:val="clear" w:color="auto" w:fill="FA8100"/>
          </w:tcPr>
          <w:p w14:paraId="44A5FD4C" w14:textId="476B42BE" w:rsidR="00465127" w:rsidRDefault="00465127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16h30</w:t>
            </w:r>
          </w:p>
        </w:tc>
        <w:tc>
          <w:tcPr>
            <w:tcW w:w="6372" w:type="dxa"/>
          </w:tcPr>
          <w:p w14:paraId="2EF32AF2" w14:textId="1E7B2DF8" w:rsidR="00465127" w:rsidRDefault="00465127" w:rsidP="00B05A11">
            <w:pPr>
              <w:rPr>
                <w:rFonts w:ascii="Aptos" w:hAnsi="Aptos"/>
                <w:sz w:val="28"/>
                <w:szCs w:val="28"/>
              </w:rPr>
            </w:pPr>
            <w:r w:rsidRPr="00465127">
              <w:rPr>
                <w:rFonts w:ascii="Aptos" w:hAnsi="Aptos"/>
                <w:sz w:val="28"/>
                <w:szCs w:val="28"/>
              </w:rPr>
              <w:t>Plenário Governo Federal: Camilo Santana - Ministro de Estado da Inovação.</w:t>
            </w:r>
          </w:p>
        </w:tc>
      </w:tr>
      <w:tr w:rsidR="0072733A" w:rsidRPr="00124C40" w14:paraId="318CAA8E" w14:textId="77777777" w:rsidTr="00124C40">
        <w:trPr>
          <w:trHeight w:val="486"/>
        </w:trPr>
        <w:tc>
          <w:tcPr>
            <w:tcW w:w="2122" w:type="dxa"/>
            <w:shd w:val="clear" w:color="auto" w:fill="FA8100"/>
          </w:tcPr>
          <w:p w14:paraId="05477D62" w14:textId="7E274F99" w:rsidR="0072733A" w:rsidRDefault="0072733A" w:rsidP="0072733A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17h</w:t>
            </w:r>
          </w:p>
        </w:tc>
        <w:tc>
          <w:tcPr>
            <w:tcW w:w="6372" w:type="dxa"/>
          </w:tcPr>
          <w:p w14:paraId="22A1BAEC" w14:textId="331D6B48" w:rsidR="0072733A" w:rsidRDefault="0072733A" w:rsidP="0072733A">
            <w:pPr>
              <w:tabs>
                <w:tab w:val="left" w:pos="4260"/>
              </w:tabs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Reuniões de bancadas estaduais</w:t>
            </w:r>
          </w:p>
        </w:tc>
      </w:tr>
    </w:tbl>
    <w:p w14:paraId="4C0B9555" w14:textId="196B350D" w:rsidR="00124C40" w:rsidRDefault="00124C40">
      <w:pPr>
        <w:rPr>
          <w:b/>
          <w:bCs/>
          <w:sz w:val="40"/>
          <w:szCs w:val="40"/>
        </w:rPr>
      </w:pPr>
    </w:p>
    <w:p w14:paraId="58C299E1" w14:textId="3C7FC9E0" w:rsidR="00124C40" w:rsidRPr="00124C40" w:rsidRDefault="00124C40" w:rsidP="00124C40">
      <w:pPr>
        <w:rPr>
          <w:rFonts w:ascii="Aptos" w:hAnsi="Aptos"/>
          <w:b/>
          <w:bCs/>
          <w:color w:val="FA8100"/>
          <w:sz w:val="40"/>
          <w:szCs w:val="40"/>
        </w:rPr>
      </w:pPr>
      <w:r w:rsidRPr="00124C40">
        <w:rPr>
          <w:rFonts w:ascii="Aptos" w:hAnsi="Aptos"/>
          <w:b/>
          <w:bCs/>
          <w:color w:val="FFC923"/>
          <w:sz w:val="40"/>
          <w:szCs w:val="40"/>
        </w:rPr>
        <w:tab/>
      </w:r>
      <w:r>
        <w:rPr>
          <w:rFonts w:ascii="Aptos" w:hAnsi="Aptos"/>
          <w:b/>
          <w:bCs/>
          <w:color w:val="FA8100"/>
          <w:sz w:val="40"/>
          <w:szCs w:val="40"/>
        </w:rPr>
        <w:t>3</w:t>
      </w:r>
      <w:r w:rsidRPr="00124C40">
        <w:rPr>
          <w:rFonts w:ascii="Aptos" w:hAnsi="Aptos"/>
          <w:b/>
          <w:bCs/>
          <w:color w:val="FA8100"/>
          <w:sz w:val="40"/>
          <w:szCs w:val="40"/>
        </w:rPr>
        <w:t>º Dia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24C40" w:rsidRPr="00124C40" w14:paraId="0059B131" w14:textId="77777777" w:rsidTr="00B05A11">
        <w:tc>
          <w:tcPr>
            <w:tcW w:w="2122" w:type="dxa"/>
            <w:shd w:val="clear" w:color="auto" w:fill="FA8100"/>
          </w:tcPr>
          <w:p w14:paraId="3C962681" w14:textId="43CA2F31" w:rsidR="00124C40" w:rsidRPr="00124C40" w:rsidRDefault="008B2AC1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8</w:t>
            </w:r>
            <w:r w:rsidR="00124C40"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h</w:t>
            </w: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6372" w:type="dxa"/>
          </w:tcPr>
          <w:p w14:paraId="674FED91" w14:textId="7C8B14A2" w:rsidR="00124C40" w:rsidRPr="00963B55" w:rsidRDefault="00124C40" w:rsidP="00B05A11">
            <w:pPr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Assembleia Geral – Prestação de contas na CNM</w:t>
            </w:r>
          </w:p>
        </w:tc>
      </w:tr>
      <w:tr w:rsidR="00124C40" w:rsidRPr="00124C40" w14:paraId="3CE4277E" w14:textId="77777777" w:rsidTr="00510B73">
        <w:trPr>
          <w:trHeight w:val="855"/>
        </w:trPr>
        <w:tc>
          <w:tcPr>
            <w:tcW w:w="2122" w:type="dxa"/>
            <w:shd w:val="clear" w:color="auto" w:fill="FA8100"/>
          </w:tcPr>
          <w:p w14:paraId="0BEF4C4B" w14:textId="2FE51C83" w:rsidR="00124C40" w:rsidRPr="00124C40" w:rsidRDefault="0072733A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9h30</w:t>
            </w:r>
          </w:p>
        </w:tc>
        <w:tc>
          <w:tcPr>
            <w:tcW w:w="6372" w:type="dxa"/>
          </w:tcPr>
          <w:p w14:paraId="764E8228" w14:textId="3A01078D" w:rsidR="00124C40" w:rsidRPr="00963B55" w:rsidRDefault="0072733A" w:rsidP="00B05A11">
            <w:pPr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Desafios Municipais no Enfrentamento das Mudanças Climáticas</w:t>
            </w:r>
          </w:p>
        </w:tc>
      </w:tr>
      <w:tr w:rsidR="00124C40" w:rsidRPr="00124C40" w14:paraId="63DBA0CA" w14:textId="77777777" w:rsidTr="00B05A11">
        <w:tc>
          <w:tcPr>
            <w:tcW w:w="2122" w:type="dxa"/>
            <w:shd w:val="clear" w:color="auto" w:fill="FA8100"/>
          </w:tcPr>
          <w:p w14:paraId="17CBD7C8" w14:textId="2F818B65" w:rsidR="00124C40" w:rsidRPr="00124C40" w:rsidRDefault="00124C40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14h</w:t>
            </w:r>
          </w:p>
        </w:tc>
        <w:tc>
          <w:tcPr>
            <w:tcW w:w="6372" w:type="dxa"/>
          </w:tcPr>
          <w:p w14:paraId="0221C051" w14:textId="5DB81CA2" w:rsidR="00124C40" w:rsidRPr="00963B55" w:rsidRDefault="0072733A" w:rsidP="00B05A11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Congresso Nacional – Discussão de pauta municipalista</w:t>
            </w:r>
          </w:p>
        </w:tc>
      </w:tr>
      <w:tr w:rsidR="00510B73" w:rsidRPr="00124C40" w14:paraId="428C792D" w14:textId="77777777" w:rsidTr="00B05A11">
        <w:tc>
          <w:tcPr>
            <w:tcW w:w="2122" w:type="dxa"/>
            <w:shd w:val="clear" w:color="auto" w:fill="FA8100"/>
          </w:tcPr>
          <w:p w14:paraId="7BB45C85" w14:textId="083B7FDB" w:rsidR="00510B73" w:rsidRPr="00124C40" w:rsidRDefault="00510B73" w:rsidP="00510B73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lastRenderedPageBreak/>
              <w:t>1</w:t>
            </w:r>
            <w:r w:rsidR="0072733A">
              <w:rPr>
                <w:rFonts w:ascii="Aptos" w:hAnsi="Aptos"/>
                <w:color w:val="FFFFFF" w:themeColor="background1"/>
                <w:sz w:val="28"/>
                <w:szCs w:val="28"/>
              </w:rPr>
              <w:t>5</w:t>
            </w: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6372" w:type="dxa"/>
          </w:tcPr>
          <w:p w14:paraId="514E43D1" w14:textId="252427EA" w:rsidR="00510B73" w:rsidRPr="00963B55" w:rsidRDefault="0072733A" w:rsidP="00510B73">
            <w:pPr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Reforma Tributária</w:t>
            </w:r>
          </w:p>
        </w:tc>
      </w:tr>
      <w:tr w:rsidR="00510B73" w:rsidRPr="00124C40" w14:paraId="3A78CF7A" w14:textId="77777777" w:rsidTr="00B05A11">
        <w:tc>
          <w:tcPr>
            <w:tcW w:w="2122" w:type="dxa"/>
            <w:shd w:val="clear" w:color="auto" w:fill="FA8100"/>
          </w:tcPr>
          <w:p w14:paraId="22117B6E" w14:textId="20C5BC78" w:rsidR="00510B73" w:rsidRPr="00124C40" w:rsidRDefault="00510B73" w:rsidP="00510B73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1</w:t>
            </w:r>
            <w:r w:rsidR="0072733A">
              <w:rPr>
                <w:rFonts w:ascii="Aptos" w:hAnsi="Aptos"/>
                <w:color w:val="FFFFFF" w:themeColor="background1"/>
                <w:sz w:val="28"/>
                <w:szCs w:val="28"/>
              </w:rPr>
              <w:t>7h</w:t>
            </w:r>
          </w:p>
        </w:tc>
        <w:tc>
          <w:tcPr>
            <w:tcW w:w="6372" w:type="dxa"/>
          </w:tcPr>
          <w:p w14:paraId="13B8FAC3" w14:textId="3B55F4C5" w:rsidR="00510B73" w:rsidRPr="00963B55" w:rsidRDefault="0072733A" w:rsidP="00510B73">
            <w:pPr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Royalties</w:t>
            </w:r>
          </w:p>
        </w:tc>
      </w:tr>
      <w:tr w:rsidR="0072733A" w:rsidRPr="00124C40" w14:paraId="22D6459C" w14:textId="77777777" w:rsidTr="00B05A11">
        <w:tc>
          <w:tcPr>
            <w:tcW w:w="2122" w:type="dxa"/>
            <w:shd w:val="clear" w:color="auto" w:fill="FA8100"/>
          </w:tcPr>
          <w:p w14:paraId="0DFA2C51" w14:textId="0CA602A5" w:rsidR="0072733A" w:rsidRPr="00124C40" w:rsidRDefault="0072733A" w:rsidP="00510B73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17h30</w:t>
            </w:r>
          </w:p>
        </w:tc>
        <w:tc>
          <w:tcPr>
            <w:tcW w:w="6372" w:type="dxa"/>
          </w:tcPr>
          <w:p w14:paraId="5182D29A" w14:textId="5A503E52" w:rsidR="0072733A" w:rsidRPr="0072733A" w:rsidRDefault="0072733A" w:rsidP="00510B73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Encerramento</w:t>
            </w:r>
          </w:p>
        </w:tc>
      </w:tr>
    </w:tbl>
    <w:p w14:paraId="0CAB4170" w14:textId="77777777" w:rsidR="00963B55" w:rsidRDefault="00963B55" w:rsidP="00124C40">
      <w:pPr>
        <w:ind w:firstLine="708"/>
        <w:rPr>
          <w:rFonts w:ascii="Aptos" w:hAnsi="Aptos"/>
          <w:b/>
          <w:bCs/>
          <w:color w:val="FA8100"/>
          <w:sz w:val="40"/>
          <w:szCs w:val="40"/>
        </w:rPr>
      </w:pPr>
    </w:p>
    <w:p w14:paraId="371CC0FD" w14:textId="77777777" w:rsidR="00963B55" w:rsidRDefault="00963B55" w:rsidP="00124C40">
      <w:pPr>
        <w:ind w:firstLine="708"/>
        <w:rPr>
          <w:rFonts w:ascii="Aptos" w:hAnsi="Aptos"/>
          <w:b/>
          <w:bCs/>
          <w:color w:val="FA8100"/>
          <w:sz w:val="40"/>
          <w:szCs w:val="40"/>
        </w:rPr>
      </w:pPr>
    </w:p>
    <w:p w14:paraId="7C297894" w14:textId="77777777" w:rsidR="00510B73" w:rsidRDefault="00510B73" w:rsidP="00124C40">
      <w:pPr>
        <w:ind w:firstLine="708"/>
        <w:rPr>
          <w:rFonts w:ascii="Aptos" w:hAnsi="Aptos"/>
          <w:b/>
          <w:bCs/>
          <w:color w:val="FA8100"/>
          <w:sz w:val="40"/>
          <w:szCs w:val="40"/>
        </w:rPr>
      </w:pPr>
    </w:p>
    <w:p w14:paraId="5BD0B780" w14:textId="77777777" w:rsidR="008B2AC1" w:rsidRDefault="008B2AC1" w:rsidP="00124C40">
      <w:pPr>
        <w:ind w:firstLine="708"/>
        <w:rPr>
          <w:rFonts w:ascii="Aptos" w:hAnsi="Aptos"/>
          <w:b/>
          <w:bCs/>
          <w:color w:val="FA8100"/>
          <w:sz w:val="40"/>
          <w:szCs w:val="40"/>
        </w:rPr>
      </w:pPr>
    </w:p>
    <w:p w14:paraId="5A6F7B91" w14:textId="241F3213" w:rsidR="00124C40" w:rsidRPr="00124C40" w:rsidRDefault="00124C40" w:rsidP="00124C40">
      <w:pPr>
        <w:ind w:firstLine="708"/>
        <w:rPr>
          <w:rFonts w:ascii="Aptos" w:hAnsi="Aptos"/>
          <w:b/>
          <w:bCs/>
          <w:color w:val="FFC923"/>
          <w:sz w:val="40"/>
          <w:szCs w:val="40"/>
        </w:rPr>
      </w:pPr>
      <w:r>
        <w:rPr>
          <w:rFonts w:ascii="Aptos" w:hAnsi="Aptos"/>
          <w:b/>
          <w:bCs/>
          <w:color w:val="FA8100"/>
          <w:sz w:val="40"/>
          <w:szCs w:val="40"/>
        </w:rPr>
        <w:t>4</w:t>
      </w:r>
      <w:r w:rsidRPr="00124C40">
        <w:rPr>
          <w:rFonts w:ascii="Aptos" w:hAnsi="Aptos"/>
          <w:b/>
          <w:bCs/>
          <w:color w:val="FA8100"/>
          <w:sz w:val="40"/>
          <w:szCs w:val="40"/>
        </w:rPr>
        <w:t>º Dia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24C40" w:rsidRPr="00124C40" w14:paraId="58D15D12" w14:textId="77777777" w:rsidTr="00B05A11">
        <w:tc>
          <w:tcPr>
            <w:tcW w:w="2122" w:type="dxa"/>
            <w:shd w:val="clear" w:color="auto" w:fill="FA8100"/>
          </w:tcPr>
          <w:p w14:paraId="01E45188" w14:textId="057660FF" w:rsidR="00124C40" w:rsidRPr="00124C40" w:rsidRDefault="00124C40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8</w:t>
            </w:r>
            <w:r w:rsidRPr="00124C40">
              <w:rPr>
                <w:rFonts w:ascii="Aptos" w:hAnsi="Aptos"/>
                <w:color w:val="FFFFFF" w:themeColor="background1"/>
                <w:sz w:val="28"/>
                <w:szCs w:val="28"/>
              </w:rPr>
              <w:t>h</w:t>
            </w:r>
          </w:p>
        </w:tc>
        <w:tc>
          <w:tcPr>
            <w:tcW w:w="6372" w:type="dxa"/>
          </w:tcPr>
          <w:p w14:paraId="2F187871" w14:textId="0A9501A4" w:rsidR="00124C40" w:rsidRPr="00963B55" w:rsidRDefault="00124C40" w:rsidP="00963B55">
            <w:pPr>
              <w:rPr>
                <w:rFonts w:ascii="Aptos" w:hAnsi="Aptos"/>
                <w:sz w:val="28"/>
                <w:szCs w:val="28"/>
              </w:rPr>
            </w:pPr>
            <w:r w:rsidRPr="00963B55">
              <w:rPr>
                <w:rFonts w:ascii="Aptos" w:hAnsi="Aptos"/>
                <w:sz w:val="28"/>
                <w:szCs w:val="28"/>
              </w:rPr>
              <w:t>Palavra aberta aos gestores</w:t>
            </w:r>
          </w:p>
        </w:tc>
      </w:tr>
      <w:tr w:rsidR="00124C40" w:rsidRPr="00124C40" w14:paraId="481F4238" w14:textId="77777777" w:rsidTr="00B05A11">
        <w:tc>
          <w:tcPr>
            <w:tcW w:w="2122" w:type="dxa"/>
            <w:shd w:val="clear" w:color="auto" w:fill="FA8100"/>
          </w:tcPr>
          <w:p w14:paraId="72EC5A19" w14:textId="018E37BF" w:rsidR="00124C40" w:rsidRPr="00124C40" w:rsidRDefault="0072733A" w:rsidP="00B05A11">
            <w:pPr>
              <w:rPr>
                <w:rFonts w:ascii="Aptos" w:hAnsi="Aptos"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/>
                <w:color w:val="FFFFFF" w:themeColor="background1"/>
                <w:sz w:val="28"/>
                <w:szCs w:val="28"/>
              </w:rPr>
              <w:t>9h</w:t>
            </w:r>
          </w:p>
        </w:tc>
        <w:tc>
          <w:tcPr>
            <w:tcW w:w="6372" w:type="dxa"/>
          </w:tcPr>
          <w:p w14:paraId="695BC4F6" w14:textId="77777777" w:rsidR="00124C40" w:rsidRDefault="00510B73" w:rsidP="00963B5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Projetos CNM:</w:t>
            </w:r>
          </w:p>
          <w:p w14:paraId="666FCE57" w14:textId="77777777" w:rsidR="00510B73" w:rsidRDefault="00510B73" w:rsidP="00963B5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Projeto Previdência Sustentável</w:t>
            </w:r>
          </w:p>
          <w:p w14:paraId="704953C3" w14:textId="6284816C" w:rsidR="00510B73" w:rsidRPr="00963B55" w:rsidRDefault="0072733A" w:rsidP="00963B55">
            <w:pPr>
              <w:rPr>
                <w:rFonts w:ascii="Aptos" w:hAnsi="Aptos"/>
                <w:sz w:val="28"/>
                <w:szCs w:val="28"/>
              </w:rPr>
            </w:pPr>
            <w:r w:rsidRPr="0072733A">
              <w:rPr>
                <w:rFonts w:ascii="Aptos" w:hAnsi="Aptos"/>
                <w:sz w:val="28"/>
                <w:szCs w:val="28"/>
              </w:rPr>
              <w:t> Projeto Carbono Zero</w:t>
            </w:r>
          </w:p>
        </w:tc>
      </w:tr>
    </w:tbl>
    <w:p w14:paraId="69FAED53" w14:textId="77777777" w:rsidR="00124C40" w:rsidRPr="0072733A" w:rsidRDefault="00124C40">
      <w:pPr>
        <w:rPr>
          <w:b/>
          <w:bCs/>
          <w:sz w:val="40"/>
          <w:szCs w:val="40"/>
          <w:u w:val="single"/>
        </w:rPr>
      </w:pPr>
    </w:p>
    <w:sectPr w:rsidR="00124C40" w:rsidRPr="00727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40"/>
    <w:rsid w:val="00124C40"/>
    <w:rsid w:val="003D14DE"/>
    <w:rsid w:val="00465127"/>
    <w:rsid w:val="00510B73"/>
    <w:rsid w:val="007163FE"/>
    <w:rsid w:val="0072733A"/>
    <w:rsid w:val="008B2AC1"/>
    <w:rsid w:val="0093129A"/>
    <w:rsid w:val="009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05D"/>
  <w15:chartTrackingRefBased/>
  <w15:docId w15:val="{C99E9D38-06CB-441A-AB25-F018DE30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40"/>
  </w:style>
  <w:style w:type="paragraph" w:styleId="Ttulo1">
    <w:name w:val="heading 1"/>
    <w:basedOn w:val="Normal"/>
    <w:next w:val="Normal"/>
    <w:link w:val="Ttulo1Char"/>
    <w:uiPriority w:val="9"/>
    <w:qFormat/>
    <w:rsid w:val="0012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4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4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4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4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4C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4C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4C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4C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4C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4C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4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4C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4C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4C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4C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4C4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2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 BSB</dc:creator>
  <cp:keywords/>
  <dc:description/>
  <cp:lastModifiedBy>Dev BSB</cp:lastModifiedBy>
  <cp:revision>5</cp:revision>
  <cp:lastPrinted>2024-05-21T15:43:00Z</cp:lastPrinted>
  <dcterms:created xsi:type="dcterms:W3CDTF">2024-03-12T16:11:00Z</dcterms:created>
  <dcterms:modified xsi:type="dcterms:W3CDTF">2024-05-21T15:43:00Z</dcterms:modified>
</cp:coreProperties>
</file>